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99D" w14:textId="1F42B6E3" w:rsidR="00F000D9" w:rsidRPr="00F000D9" w:rsidRDefault="000C1608" w:rsidP="00F000D9">
      <w:pPr>
        <w:shd w:val="clear" w:color="auto" w:fill="FFFFFF" w:themeFill="background1"/>
        <w:spacing w:after="0"/>
        <w:rPr>
          <w:rFonts w:ascii="Corbel" w:eastAsia="Corbel" w:hAnsi="Corbel" w:cs="Corbel"/>
          <w:i/>
          <w:iCs/>
          <w:color w:val="7030A0"/>
          <w:sz w:val="22"/>
          <w:szCs w:val="22"/>
        </w:rPr>
      </w:pPr>
      <w:r w:rsidRPr="0003242F">
        <w:rPr>
          <w:rFonts w:ascii="Corbel" w:eastAsia="Corbel" w:hAnsi="Corbel" w:cs="Corbel"/>
          <w:i/>
          <w:iCs/>
          <w:color w:val="7030A0"/>
          <w:sz w:val="22"/>
          <w:szCs w:val="22"/>
        </w:rPr>
        <w:t xml:space="preserve">Disclaimer: This summary is for informational purposes only. Always consult a qualified tax advisor or attorney about your specific situation and before making financial or charitable decisions. </w:t>
      </w:r>
      <w:r w:rsidR="00F000D9" w:rsidRPr="0003242F">
        <w:rPr>
          <w:rFonts w:ascii="Corbel" w:eastAsia="Corbel" w:hAnsi="Corbel" w:cs="Corbel"/>
          <w:i/>
          <w:iCs/>
          <w:color w:val="7030A0"/>
          <w:sz w:val="22"/>
          <w:szCs w:val="22"/>
        </w:rPr>
        <w:t>We</w:t>
      </w:r>
      <w:r w:rsidRPr="0003242F">
        <w:rPr>
          <w:rFonts w:ascii="Corbel" w:eastAsia="Corbel" w:hAnsi="Corbel" w:cs="Corbel"/>
          <w:i/>
          <w:iCs/>
          <w:color w:val="7030A0"/>
          <w:sz w:val="22"/>
          <w:szCs w:val="22"/>
        </w:rPr>
        <w:t xml:space="preserve"> disqualify</w:t>
      </w:r>
      <w:r w:rsidR="00F000D9" w:rsidRPr="0003242F">
        <w:rPr>
          <w:rFonts w:ascii="Corbel" w:eastAsia="Corbel" w:hAnsi="Corbel" w:cs="Corbel"/>
          <w:i/>
          <w:iCs/>
          <w:color w:val="7030A0"/>
          <w:sz w:val="22"/>
          <w:szCs w:val="22"/>
        </w:rPr>
        <w:t xml:space="preserve"> </w:t>
      </w:r>
      <w:r w:rsidR="00F000D9" w:rsidRPr="00F000D9">
        <w:rPr>
          <w:rFonts w:ascii="Corbel" w:eastAsia="Corbel" w:hAnsi="Corbel" w:cs="Corbel"/>
          <w:i/>
          <w:iCs/>
          <w:color w:val="7030A0"/>
          <w:sz w:val="22"/>
          <w:szCs w:val="22"/>
        </w:rPr>
        <w:t>any statements as legal, accounting, tax</w:t>
      </w:r>
      <w:r w:rsidRPr="0003242F">
        <w:rPr>
          <w:rFonts w:ascii="Corbel" w:eastAsia="Corbel" w:hAnsi="Corbel" w:cs="Corbel"/>
          <w:i/>
          <w:iCs/>
          <w:color w:val="7030A0"/>
          <w:sz w:val="22"/>
          <w:szCs w:val="22"/>
        </w:rPr>
        <w:t xml:space="preserve">, </w:t>
      </w:r>
      <w:r w:rsidR="00F000D9" w:rsidRPr="00F000D9">
        <w:rPr>
          <w:rFonts w:ascii="Corbel" w:eastAsia="Corbel" w:hAnsi="Corbel" w:cs="Corbel"/>
          <w:i/>
          <w:iCs/>
          <w:color w:val="7030A0"/>
          <w:sz w:val="22"/>
          <w:szCs w:val="22"/>
        </w:rPr>
        <w:t xml:space="preserve">or financial advice. </w:t>
      </w:r>
      <w:r w:rsidRPr="0003242F">
        <w:rPr>
          <w:rFonts w:ascii="Corbel" w:eastAsia="Corbel" w:hAnsi="Corbel" w:cs="Corbel"/>
          <w:i/>
          <w:iCs/>
          <w:color w:val="7030A0"/>
          <w:sz w:val="22"/>
          <w:szCs w:val="22"/>
        </w:rPr>
        <w:t>Every</w:t>
      </w:r>
      <w:r w:rsidR="00F000D9" w:rsidRPr="00F000D9">
        <w:rPr>
          <w:rFonts w:ascii="Corbel" w:eastAsia="Corbel" w:hAnsi="Corbel" w:cs="Corbel"/>
          <w:i/>
          <w:iCs/>
          <w:color w:val="7030A0"/>
          <w:sz w:val="22"/>
          <w:szCs w:val="22"/>
        </w:rPr>
        <w:t xml:space="preserve"> taxpayer's situation may differ</w:t>
      </w:r>
      <w:r w:rsidRPr="0003242F">
        <w:rPr>
          <w:rFonts w:ascii="Corbel" w:eastAsia="Corbel" w:hAnsi="Corbel" w:cs="Corbel"/>
          <w:i/>
          <w:iCs/>
          <w:color w:val="7030A0"/>
          <w:sz w:val="22"/>
          <w:szCs w:val="22"/>
        </w:rPr>
        <w:t xml:space="preserve">; </w:t>
      </w:r>
      <w:r w:rsidR="00F000D9" w:rsidRPr="00F000D9">
        <w:rPr>
          <w:rFonts w:ascii="Corbel" w:eastAsia="Corbel" w:hAnsi="Corbel" w:cs="Corbel"/>
          <w:i/>
          <w:iCs/>
          <w:color w:val="7030A0"/>
          <w:sz w:val="22"/>
          <w:szCs w:val="22"/>
        </w:rPr>
        <w:t>obtaining advice specific to their situation with their CPA or financial advisor is highly advisable before implementing any of these opportunities.</w:t>
      </w:r>
    </w:p>
    <w:p w14:paraId="033CEBC2" w14:textId="77777777" w:rsidR="000C1608" w:rsidRDefault="000C1608" w:rsidP="00F000D9">
      <w:pPr>
        <w:shd w:val="clear" w:color="auto" w:fill="FFFFFF" w:themeFill="background1"/>
        <w:spacing w:after="0"/>
        <w:rPr>
          <w:rFonts w:ascii="Corbel" w:eastAsia="Corbel" w:hAnsi="Corbel" w:cs="Corbel"/>
          <w:b/>
          <w:bCs/>
          <w:color w:val="000000" w:themeColor="text1"/>
        </w:rPr>
      </w:pPr>
    </w:p>
    <w:p w14:paraId="4F787FC5" w14:textId="77777777" w:rsidR="0003242F" w:rsidRPr="0003242F" w:rsidRDefault="000C1608" w:rsidP="0003242F">
      <w:pPr>
        <w:shd w:val="clear" w:color="auto" w:fill="FFFFFF" w:themeFill="background1"/>
        <w:spacing w:after="0"/>
        <w:jc w:val="center"/>
        <w:rPr>
          <w:rFonts w:ascii="Corbel" w:eastAsia="Corbel" w:hAnsi="Corbel" w:cs="Corbel"/>
          <w:b/>
          <w:bCs/>
          <w:color w:val="000000" w:themeColor="text1"/>
          <w:sz w:val="30"/>
          <w:szCs w:val="30"/>
          <w:u w:val="single"/>
        </w:rPr>
      </w:pPr>
      <w:r w:rsidRPr="0003242F">
        <w:rPr>
          <w:rFonts w:ascii="Corbel" w:eastAsia="Corbel" w:hAnsi="Corbel" w:cs="Corbel"/>
          <w:b/>
          <w:bCs/>
          <w:color w:val="000000" w:themeColor="text1"/>
          <w:sz w:val="30"/>
          <w:szCs w:val="30"/>
          <w:u w:val="single"/>
        </w:rPr>
        <w:t xml:space="preserve">IMPORTANT CHANGES TO </w:t>
      </w:r>
      <w:r w:rsidR="000D1B85" w:rsidRPr="0003242F">
        <w:rPr>
          <w:rFonts w:ascii="Corbel" w:eastAsia="Corbel" w:hAnsi="Corbel" w:cs="Corbel"/>
          <w:b/>
          <w:bCs/>
          <w:color w:val="000000" w:themeColor="text1"/>
          <w:sz w:val="30"/>
          <w:szCs w:val="30"/>
          <w:u w:val="single"/>
        </w:rPr>
        <w:t>TAXABLE GIVING</w:t>
      </w:r>
      <w:proofErr w:type="gramStart"/>
      <w:r w:rsidR="000D1B85" w:rsidRPr="0003242F">
        <w:rPr>
          <w:rFonts w:ascii="Corbel" w:eastAsia="Corbel" w:hAnsi="Corbel" w:cs="Corbel"/>
          <w:b/>
          <w:bCs/>
          <w:color w:val="000000" w:themeColor="text1"/>
          <w:sz w:val="30"/>
          <w:szCs w:val="30"/>
          <w:u w:val="single"/>
        </w:rPr>
        <w:t xml:space="preserve">: </w:t>
      </w:r>
      <w:r w:rsidRPr="0003242F">
        <w:rPr>
          <w:rFonts w:ascii="Corbel" w:eastAsia="Corbel" w:hAnsi="Corbel" w:cs="Corbel"/>
          <w:b/>
          <w:bCs/>
          <w:color w:val="000000" w:themeColor="text1"/>
          <w:sz w:val="30"/>
          <w:szCs w:val="30"/>
          <w:u w:val="single"/>
        </w:rPr>
        <w:t xml:space="preserve"> </w:t>
      </w:r>
      <w:r w:rsidR="00305151" w:rsidRPr="0003242F">
        <w:rPr>
          <w:rFonts w:ascii="Corbel" w:eastAsia="Corbel" w:hAnsi="Corbel" w:cs="Corbel"/>
          <w:b/>
          <w:bCs/>
          <w:color w:val="000000" w:themeColor="text1"/>
          <w:sz w:val="30"/>
          <w:szCs w:val="30"/>
          <w:u w:val="single"/>
        </w:rPr>
        <w:t>A</w:t>
      </w:r>
      <w:proofErr w:type="gramEnd"/>
      <w:r w:rsidR="00305151" w:rsidRPr="0003242F">
        <w:rPr>
          <w:rFonts w:ascii="Corbel" w:eastAsia="Corbel" w:hAnsi="Corbel" w:cs="Corbel"/>
          <w:b/>
          <w:bCs/>
          <w:color w:val="000000" w:themeColor="text1"/>
          <w:sz w:val="30"/>
          <w:szCs w:val="30"/>
          <w:u w:val="single"/>
        </w:rPr>
        <w:t xml:space="preserve"> Summary</w:t>
      </w:r>
    </w:p>
    <w:p w14:paraId="5723607F" w14:textId="2AE5C305" w:rsidR="00F000D9" w:rsidRPr="00F000D9" w:rsidRDefault="00F000D9" w:rsidP="00F000D9">
      <w:pPr>
        <w:shd w:val="clear" w:color="auto" w:fill="FFFFFF" w:themeFill="background1"/>
        <w:spacing w:after="0"/>
        <w:rPr>
          <w:rFonts w:ascii="Corbel" w:eastAsia="Corbel" w:hAnsi="Corbel" w:cs="Corbel"/>
          <w:b/>
          <w:bCs/>
          <w:color w:val="000000" w:themeColor="text1"/>
          <w:sz w:val="28"/>
          <w:szCs w:val="28"/>
          <w:u w:val="single"/>
        </w:rPr>
      </w:pPr>
      <w:r w:rsidRPr="00F000D9">
        <w:rPr>
          <w:rFonts w:ascii="Corbel" w:eastAsia="Corbel" w:hAnsi="Corbel" w:cs="Corbel"/>
          <w:b/>
          <w:bCs/>
          <w:color w:val="000000" w:themeColor="text1"/>
          <w:sz w:val="28"/>
          <w:szCs w:val="28"/>
          <w:u w:val="single"/>
        </w:rPr>
        <w:t>For QCD's</w:t>
      </w:r>
    </w:p>
    <w:p w14:paraId="62AAA653" w14:textId="563CA9D5" w:rsidR="00F000D9" w:rsidRPr="00F000D9" w:rsidRDefault="00F000D9" w:rsidP="00F000D9">
      <w:p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 xml:space="preserve">For 2025, you can make a Qualified Charitable Distribution (QCD) of up </w:t>
      </w:r>
      <w:proofErr w:type="gramStart"/>
      <w:r w:rsidRPr="00F000D9">
        <w:rPr>
          <w:rFonts w:ascii="Corbel" w:eastAsia="Corbel" w:hAnsi="Corbel" w:cs="Corbel"/>
          <w:color w:val="000000" w:themeColor="text1"/>
        </w:rPr>
        <w:t>to </w:t>
      </w:r>
      <w:r w:rsidR="009B291A" w:rsidRPr="0003242F">
        <w:rPr>
          <w:rFonts w:ascii="Corbel" w:eastAsia="Corbel" w:hAnsi="Corbel" w:cs="Corbel"/>
          <w:color w:val="000000" w:themeColor="text1"/>
        </w:rPr>
        <w:t xml:space="preserve"> </w:t>
      </w:r>
      <w:r w:rsidRPr="00F000D9">
        <w:rPr>
          <w:rFonts w:ascii="Corbel" w:eastAsia="Corbel" w:hAnsi="Corbel" w:cs="Corbel"/>
          <w:b/>
          <w:bCs/>
          <w:color w:val="000000" w:themeColor="text1"/>
          <w:sz w:val="28"/>
          <w:szCs w:val="28"/>
        </w:rPr>
        <w:t>$</w:t>
      </w:r>
      <w:proofErr w:type="gramEnd"/>
      <w:r w:rsidRPr="00F000D9">
        <w:rPr>
          <w:rFonts w:ascii="Corbel" w:eastAsia="Corbel" w:hAnsi="Corbel" w:cs="Corbel"/>
          <w:b/>
          <w:bCs/>
          <w:color w:val="000000" w:themeColor="text1"/>
          <w:sz w:val="28"/>
          <w:szCs w:val="28"/>
        </w:rPr>
        <w:t>108,000</w:t>
      </w:r>
      <w:r w:rsidRPr="00F000D9">
        <w:rPr>
          <w:rFonts w:ascii="Corbel" w:eastAsia="Corbel" w:hAnsi="Corbel" w:cs="Corbel"/>
          <w:color w:val="000000" w:themeColor="text1"/>
        </w:rPr>
        <w:t> from an eligible IRA to a qualified charity if you are age 70½ or older. To be eligible, the distribution must be made directly from your IRA to the charity, and you cannot receive any goods or services in return. </w:t>
      </w:r>
    </w:p>
    <w:p w14:paraId="47BB9EBC" w14:textId="77777777" w:rsidR="00F000D9" w:rsidRPr="00F000D9" w:rsidRDefault="00F000D9" w:rsidP="00F000D9">
      <w:p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There is also a one-time, lifetime opportunity to use up to $54,000 of a QCD to fund a split-interest entity like a charitable gift annuity or trust. </w:t>
      </w:r>
    </w:p>
    <w:p w14:paraId="03C5714F" w14:textId="77777777" w:rsidR="00F000D9" w:rsidRPr="00F000D9" w:rsidRDefault="00F000D9" w:rsidP="00F000D9">
      <w:pPr>
        <w:shd w:val="clear" w:color="auto" w:fill="FFFFFF" w:themeFill="background1"/>
        <w:spacing w:after="0"/>
        <w:rPr>
          <w:rFonts w:ascii="Corbel" w:eastAsia="Corbel" w:hAnsi="Corbel" w:cs="Corbel"/>
          <w:color w:val="000000" w:themeColor="text1"/>
          <w:sz w:val="26"/>
          <w:szCs w:val="26"/>
          <w:u w:val="single"/>
        </w:rPr>
      </w:pPr>
      <w:r w:rsidRPr="00F000D9">
        <w:rPr>
          <w:rFonts w:ascii="Corbel" w:eastAsia="Corbel" w:hAnsi="Corbel" w:cs="Corbel"/>
          <w:b/>
          <w:bCs/>
          <w:color w:val="000000" w:themeColor="text1"/>
          <w:sz w:val="26"/>
          <w:szCs w:val="26"/>
          <w:u w:val="single"/>
        </w:rPr>
        <w:t>Who qualifies</w:t>
      </w:r>
    </w:p>
    <w:p w14:paraId="4898A377" w14:textId="77777777" w:rsidR="00F000D9" w:rsidRPr="00F000D9" w:rsidRDefault="00F000D9" w:rsidP="00F000D9">
      <w:pPr>
        <w:numPr>
          <w:ilvl w:val="0"/>
          <w:numId w:val="6"/>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You must be at least 70½ years old.</w:t>
      </w:r>
    </w:p>
    <w:p w14:paraId="22C3D5D0" w14:textId="77777777" w:rsidR="00F000D9" w:rsidRPr="00F000D9" w:rsidRDefault="00F000D9" w:rsidP="00F000D9">
      <w:pPr>
        <w:numPr>
          <w:ilvl w:val="0"/>
          <w:numId w:val="6"/>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You must have funds in an eligible IRA, such as a Traditional, Rollover, SEP (inactive), or SIMPLE (inactive) IRA. </w:t>
      </w:r>
    </w:p>
    <w:p w14:paraId="4DEE4E46" w14:textId="77777777" w:rsidR="00F000D9" w:rsidRPr="00F000D9" w:rsidRDefault="00F000D9" w:rsidP="00F000D9">
      <w:pPr>
        <w:shd w:val="clear" w:color="auto" w:fill="FFFFFF" w:themeFill="background1"/>
        <w:spacing w:after="0"/>
        <w:rPr>
          <w:rFonts w:ascii="Corbel" w:eastAsia="Corbel" w:hAnsi="Corbel" w:cs="Corbel"/>
          <w:b/>
          <w:bCs/>
          <w:color w:val="000000" w:themeColor="text1"/>
          <w:sz w:val="26"/>
          <w:szCs w:val="26"/>
          <w:u w:val="single"/>
        </w:rPr>
      </w:pPr>
      <w:r w:rsidRPr="00F000D9">
        <w:rPr>
          <w:rFonts w:ascii="Corbel" w:eastAsia="Corbel" w:hAnsi="Corbel" w:cs="Corbel"/>
          <w:b/>
          <w:bCs/>
          <w:color w:val="000000" w:themeColor="text1"/>
          <w:sz w:val="26"/>
          <w:szCs w:val="26"/>
          <w:u w:val="single"/>
        </w:rPr>
        <w:t>Key rules</w:t>
      </w:r>
    </w:p>
    <w:p w14:paraId="4A3DB8BC" w14:textId="77777777" w:rsidR="00F000D9" w:rsidRPr="00F000D9" w:rsidRDefault="00F000D9" w:rsidP="00F000D9">
      <w:pPr>
        <w:numPr>
          <w:ilvl w:val="0"/>
          <w:numId w:val="7"/>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Maximum limit: The 2025 limit is $108,000 per individual.</w:t>
      </w:r>
    </w:p>
    <w:p w14:paraId="3CE4CDF4" w14:textId="77777777" w:rsidR="00F000D9" w:rsidRPr="00F000D9" w:rsidRDefault="00F000D9" w:rsidP="00F000D9">
      <w:pPr>
        <w:numPr>
          <w:ilvl w:val="0"/>
          <w:numId w:val="7"/>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One-time split-interest gift: You can make a one-time, lifetime donation of up to $54,000 to a charitable remainder trust or charitable gift annuity, which counts against the annual limit.</w:t>
      </w:r>
    </w:p>
    <w:p w14:paraId="30BDD253" w14:textId="77777777" w:rsidR="00F000D9" w:rsidRPr="00F000D9" w:rsidRDefault="00F000D9" w:rsidP="00F000D9">
      <w:pPr>
        <w:numPr>
          <w:ilvl w:val="0"/>
          <w:numId w:val="7"/>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 xml:space="preserve">Direct transfer: The distribution must be sent directly from your IRA to </w:t>
      </w:r>
      <w:proofErr w:type="gramStart"/>
      <w:r w:rsidRPr="00F000D9">
        <w:rPr>
          <w:rFonts w:ascii="Corbel" w:eastAsia="Corbel" w:hAnsi="Corbel" w:cs="Corbel"/>
          <w:color w:val="000000" w:themeColor="text1"/>
        </w:rPr>
        <w:t>the charity</w:t>
      </w:r>
      <w:proofErr w:type="gramEnd"/>
      <w:r w:rsidRPr="00F000D9">
        <w:rPr>
          <w:rFonts w:ascii="Corbel" w:eastAsia="Corbel" w:hAnsi="Corbel" w:cs="Corbel"/>
          <w:color w:val="000000" w:themeColor="text1"/>
        </w:rPr>
        <w:t>. The check should be made out to the organization.</w:t>
      </w:r>
    </w:p>
    <w:p w14:paraId="7D3A74F8" w14:textId="77777777" w:rsidR="00F000D9" w:rsidRPr="00F000D9" w:rsidRDefault="00F000D9" w:rsidP="00F000D9">
      <w:pPr>
        <w:numPr>
          <w:ilvl w:val="0"/>
          <w:numId w:val="7"/>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Tax-free benefit: The QCD is not included in your taxable income. It does not generate a tax deduction, but it can reduce your adjusted gross income.</w:t>
      </w:r>
    </w:p>
    <w:p w14:paraId="46A63E7C" w14:textId="77777777" w:rsidR="00F000D9" w:rsidRPr="00F000D9" w:rsidRDefault="00F000D9" w:rsidP="00F000D9">
      <w:pPr>
        <w:numPr>
          <w:ilvl w:val="0"/>
          <w:numId w:val="7"/>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No quid pro quo: You cannot receive any goods or services in return for the donation, such as event tickets or merchandise.</w:t>
      </w:r>
    </w:p>
    <w:p w14:paraId="72B80691" w14:textId="77777777" w:rsidR="00F000D9" w:rsidRPr="00F000D9" w:rsidRDefault="00F000D9" w:rsidP="00F000D9">
      <w:pPr>
        <w:numPr>
          <w:ilvl w:val="0"/>
          <w:numId w:val="7"/>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Deadline: The QCD must be completed by December 31 of the tax year for which you want it to count. </w:t>
      </w:r>
    </w:p>
    <w:p w14:paraId="18E0DB9E" w14:textId="77777777" w:rsidR="00F000D9" w:rsidRPr="00F000D9" w:rsidRDefault="00F000D9" w:rsidP="00F000D9">
      <w:pPr>
        <w:shd w:val="clear" w:color="auto" w:fill="FFFFFF" w:themeFill="background1"/>
        <w:spacing w:after="0"/>
        <w:rPr>
          <w:rFonts w:ascii="Corbel" w:eastAsia="Corbel" w:hAnsi="Corbel" w:cs="Corbel"/>
          <w:b/>
          <w:bCs/>
          <w:color w:val="000000" w:themeColor="text1"/>
          <w:sz w:val="26"/>
          <w:szCs w:val="26"/>
          <w:u w:val="single"/>
        </w:rPr>
      </w:pPr>
      <w:r w:rsidRPr="00F000D9">
        <w:rPr>
          <w:rFonts w:ascii="Corbel" w:eastAsia="Corbel" w:hAnsi="Corbel" w:cs="Corbel"/>
          <w:b/>
          <w:bCs/>
          <w:color w:val="000000" w:themeColor="text1"/>
          <w:sz w:val="26"/>
          <w:szCs w:val="26"/>
          <w:u w:val="single"/>
        </w:rPr>
        <w:t>Important considerations</w:t>
      </w:r>
    </w:p>
    <w:p w14:paraId="05560874" w14:textId="77777777" w:rsidR="00F000D9" w:rsidRPr="00F000D9" w:rsidRDefault="00F000D9" w:rsidP="00F000D9">
      <w:pPr>
        <w:numPr>
          <w:ilvl w:val="0"/>
          <w:numId w:val="8"/>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RMDs: A QCD can satisfy all or part of your required minimum distribution (RMD) for the year. However, a QCD greater than your RMD for one year does not count towards future RMDs.</w:t>
      </w:r>
    </w:p>
    <w:p w14:paraId="508F0BA1" w14:textId="77777777" w:rsidR="00F000D9" w:rsidRPr="00F000D9" w:rsidRDefault="00F000D9" w:rsidP="00F000D9">
      <w:pPr>
        <w:numPr>
          <w:ilvl w:val="0"/>
          <w:numId w:val="8"/>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Eligible vs. ineligible funds: The distribution must be from an eligible IRA. This is an exception to the pro-rata rule for traditional IRAs. QCDs cannot be taken from 401(k)s or other employer plans unless they are first rolled over into an eligible IRA.</w:t>
      </w:r>
    </w:p>
    <w:p w14:paraId="1ABDEFE4" w14:textId="77777777" w:rsidR="00F000D9" w:rsidRPr="00F000D9" w:rsidRDefault="00F000D9" w:rsidP="00F000D9">
      <w:pPr>
        <w:numPr>
          <w:ilvl w:val="0"/>
          <w:numId w:val="8"/>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Written acknowledgment: You must have a written acknowledgment from the charity that includes the date, amount, and confirmation that you received no goods or services in return.</w:t>
      </w:r>
    </w:p>
    <w:p w14:paraId="175940B2" w14:textId="1B84AFE1" w:rsidR="00F000D9" w:rsidRPr="00F000D9" w:rsidRDefault="00F000D9" w:rsidP="00F000D9">
      <w:pPr>
        <w:numPr>
          <w:ilvl w:val="0"/>
          <w:numId w:val="8"/>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Reporting: Your IRA custodian will issue a Form 1099-R, and you must report the QCD on your tax return. There is a new reporting code (Code Y) for QCDs for 2025, according to IRS notice. </w:t>
      </w:r>
    </w:p>
    <w:p w14:paraId="5613A7EE" w14:textId="77777777" w:rsidR="00F000D9" w:rsidRPr="00F000D9" w:rsidRDefault="00F000D9" w:rsidP="00F000D9">
      <w:pPr>
        <w:shd w:val="clear" w:color="auto" w:fill="FFFFFF" w:themeFill="background1"/>
        <w:spacing w:after="0"/>
        <w:rPr>
          <w:rFonts w:ascii="Corbel" w:eastAsia="Corbel" w:hAnsi="Corbel" w:cs="Corbel"/>
          <w:b/>
          <w:bCs/>
          <w:color w:val="000000" w:themeColor="text1"/>
          <w:sz w:val="26"/>
          <w:szCs w:val="26"/>
          <w:u w:val="single"/>
        </w:rPr>
      </w:pPr>
      <w:r w:rsidRPr="00F000D9">
        <w:rPr>
          <w:rFonts w:ascii="Corbel" w:eastAsia="Corbel" w:hAnsi="Corbel" w:cs="Corbel"/>
          <w:b/>
          <w:bCs/>
          <w:color w:val="000000" w:themeColor="text1"/>
          <w:sz w:val="26"/>
          <w:szCs w:val="26"/>
          <w:u w:val="single"/>
        </w:rPr>
        <w:t>Benefits of Making a QCD:</w:t>
      </w:r>
    </w:p>
    <w:p w14:paraId="4B1E494D" w14:textId="77777777" w:rsidR="00F000D9" w:rsidRPr="00F000D9" w:rsidRDefault="00F000D9" w:rsidP="00F000D9">
      <w:p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Making a Qualified Charitable Distribution (QCD) in 2025 offers significant tax benefits, primarily by reducing your federal adjusted gross income (AGI) and helping to satisfy your Required Minimum Distribution (RMD). </w:t>
      </w:r>
    </w:p>
    <w:p w14:paraId="63EEE1C4" w14:textId="77777777" w:rsidR="00F000D9" w:rsidRPr="00F000D9" w:rsidRDefault="00F000D9" w:rsidP="00F000D9">
      <w:pPr>
        <w:shd w:val="clear" w:color="auto" w:fill="FFFFFF" w:themeFill="background1"/>
        <w:spacing w:after="0"/>
        <w:rPr>
          <w:rFonts w:ascii="Corbel" w:eastAsia="Corbel" w:hAnsi="Corbel" w:cs="Corbel"/>
          <w:b/>
          <w:bCs/>
          <w:color w:val="000000" w:themeColor="text1"/>
          <w:u w:val="single"/>
        </w:rPr>
      </w:pPr>
      <w:r w:rsidRPr="00F000D9">
        <w:rPr>
          <w:rFonts w:ascii="Corbel" w:eastAsia="Corbel" w:hAnsi="Corbel" w:cs="Corbel"/>
          <w:b/>
          <w:bCs/>
          <w:color w:val="000000" w:themeColor="text1"/>
          <w:u w:val="single"/>
        </w:rPr>
        <w:t>Key benefits of making a QCD in 2025:</w:t>
      </w:r>
    </w:p>
    <w:p w14:paraId="5E581164" w14:textId="77777777" w:rsidR="00F000D9" w:rsidRPr="00F000D9" w:rsidRDefault="00F000D9" w:rsidP="00F000D9">
      <w:pPr>
        <w:numPr>
          <w:ilvl w:val="0"/>
          <w:numId w:val="9"/>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lastRenderedPageBreak/>
        <w:t xml:space="preserve">Exclusion from Taxable Income: The amount donated directly from your IRA to a qualified charity is excluded from your gross income. This is often more advantageous than taking a normal distribution, itemizing a deduction, and then donating </w:t>
      </w:r>
      <w:proofErr w:type="gramStart"/>
      <w:r w:rsidRPr="00F000D9">
        <w:rPr>
          <w:rFonts w:ascii="Corbel" w:eastAsia="Corbel" w:hAnsi="Corbel" w:cs="Corbel"/>
          <w:color w:val="000000" w:themeColor="text1"/>
        </w:rPr>
        <w:t>the cash</w:t>
      </w:r>
      <w:proofErr w:type="gramEnd"/>
      <w:r w:rsidRPr="00F000D9">
        <w:rPr>
          <w:rFonts w:ascii="Corbel" w:eastAsia="Corbel" w:hAnsi="Corbel" w:cs="Corbel"/>
          <w:color w:val="000000" w:themeColor="text1"/>
        </w:rPr>
        <w:t>.</w:t>
      </w:r>
    </w:p>
    <w:p w14:paraId="73A00676" w14:textId="77777777" w:rsidR="00F000D9" w:rsidRPr="00F000D9" w:rsidRDefault="00F000D9" w:rsidP="00F000D9">
      <w:pPr>
        <w:numPr>
          <w:ilvl w:val="0"/>
          <w:numId w:val="9"/>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Satisfaction of RMDs: If you are aged 73 or older and subject to RMDs, the amount of the QCD counts toward meeting your annual RMD requirement for your IRA, helping you avoid penalties for insufficient withdrawals.</w:t>
      </w:r>
    </w:p>
    <w:p w14:paraId="5D24D49A" w14:textId="77777777" w:rsidR="00F000D9" w:rsidRPr="00F000D9" w:rsidRDefault="00F000D9" w:rsidP="00F000D9">
      <w:pPr>
        <w:numPr>
          <w:ilvl w:val="0"/>
          <w:numId w:val="9"/>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Lowered AGI: Reducing your AGI can help you in several ways: it may lower the income brackets for taxing Social Security benefits, reduce exposure to higher Medicare Part B and Part D premiums (IRMAA surcharges), and help you qualify for other income-based tax deductions or credits.</w:t>
      </w:r>
    </w:p>
    <w:p w14:paraId="68FCFBF9" w14:textId="77777777" w:rsidR="00F000D9" w:rsidRPr="00F000D9" w:rsidRDefault="00F000D9" w:rsidP="00F000D9">
      <w:pPr>
        <w:numPr>
          <w:ilvl w:val="0"/>
          <w:numId w:val="9"/>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Benefit Without Itemizing: Since the tax benefit comes from an income exclusion (rather than a deduction), you can still receive the full tax advantage of your charitable gift even if you claim the standard deduction.</w:t>
      </w:r>
    </w:p>
    <w:p w14:paraId="4C5B6C1A" w14:textId="77777777" w:rsidR="00F000D9" w:rsidRPr="00F000D9" w:rsidRDefault="00F000D9" w:rsidP="00F000D9">
      <w:pPr>
        <w:numPr>
          <w:ilvl w:val="0"/>
          <w:numId w:val="9"/>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 xml:space="preserve">Higher Annual Limit: For 2025, the annual limit for QCDs is $108,000 per person, indexed for inflation. Married couples, where each spouse meets the age requirement (70½) and </w:t>
      </w:r>
      <w:proofErr w:type="gramStart"/>
      <w:r w:rsidRPr="00F000D9">
        <w:rPr>
          <w:rFonts w:ascii="Corbel" w:eastAsia="Corbel" w:hAnsi="Corbel" w:cs="Corbel"/>
          <w:color w:val="000000" w:themeColor="text1"/>
        </w:rPr>
        <w:t>has</w:t>
      </w:r>
      <w:proofErr w:type="gramEnd"/>
      <w:r w:rsidRPr="00F000D9">
        <w:rPr>
          <w:rFonts w:ascii="Corbel" w:eastAsia="Corbel" w:hAnsi="Corbel" w:cs="Corbel"/>
          <w:color w:val="000000" w:themeColor="text1"/>
        </w:rPr>
        <w:t xml:space="preserve"> their own IRA, can each make a QCD up to the limit.</w:t>
      </w:r>
    </w:p>
    <w:p w14:paraId="6A4F09D1" w14:textId="77777777" w:rsidR="00F000D9" w:rsidRPr="00F000D9" w:rsidRDefault="00F000D9" w:rsidP="00F000D9">
      <w:pPr>
        <w:numPr>
          <w:ilvl w:val="0"/>
          <w:numId w:val="9"/>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Simplified Tax Reporting: Starting with 2025 distributions, IRA custodians may use a new IRS Code Y on Form 1099-R, which should make tracking and reporting QCDs easier for you and your tax advisor.</w:t>
      </w:r>
    </w:p>
    <w:p w14:paraId="25839F3B" w14:textId="77777777" w:rsidR="009B291A" w:rsidRPr="0003242F" w:rsidRDefault="00F000D9" w:rsidP="00F000D9">
      <w:pPr>
        <w:numPr>
          <w:ilvl w:val="0"/>
          <w:numId w:val="9"/>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 xml:space="preserve">Legacy Planning: Using otherwise taxable IRA funds for charitable giving helps reduce the amount of taxable assets that would be </w:t>
      </w:r>
      <w:proofErr w:type="gramStart"/>
      <w:r w:rsidRPr="00F000D9">
        <w:rPr>
          <w:rFonts w:ascii="Corbel" w:eastAsia="Corbel" w:hAnsi="Corbel" w:cs="Corbel"/>
          <w:color w:val="000000" w:themeColor="text1"/>
        </w:rPr>
        <w:t>passed</w:t>
      </w:r>
      <w:proofErr w:type="gramEnd"/>
      <w:r w:rsidRPr="00F000D9">
        <w:rPr>
          <w:rFonts w:ascii="Corbel" w:eastAsia="Corbel" w:hAnsi="Corbel" w:cs="Corbel"/>
          <w:color w:val="000000" w:themeColor="text1"/>
        </w:rPr>
        <w:t xml:space="preserve"> to heirs, who would likely have to pay income tax on the inherited amounts. </w:t>
      </w:r>
    </w:p>
    <w:p w14:paraId="172FFCFB" w14:textId="29365C67" w:rsidR="00F000D9" w:rsidRPr="00F000D9" w:rsidRDefault="00F000D9" w:rsidP="009B291A">
      <w:pPr>
        <w:shd w:val="clear" w:color="auto" w:fill="FFFFFF" w:themeFill="background1"/>
        <w:spacing w:after="0"/>
        <w:ind w:left="360"/>
        <w:rPr>
          <w:rFonts w:ascii="Corbel" w:eastAsia="Corbel" w:hAnsi="Corbel" w:cs="Corbel"/>
          <w:color w:val="000000" w:themeColor="text1"/>
        </w:rPr>
      </w:pPr>
      <w:r w:rsidRPr="00F000D9">
        <w:rPr>
          <w:rFonts w:ascii="Corbel" w:eastAsia="Corbel" w:hAnsi="Corbel" w:cs="Corbel"/>
          <w:color w:val="000000" w:themeColor="text1"/>
        </w:rPr>
        <w:t>To be eligible, you must be age 70½ or older when the distribution is made, and the funds must be transferred directly from your IRA to an eligible public charity (donor-advised funds and private foundations are not eligible). It is recommended to work with a tax professional or financial advisor to ensure the strategy aligns with your specific financial goals. </w:t>
      </w:r>
    </w:p>
    <w:p w14:paraId="1D6FE9C1" w14:textId="506D8F3A" w:rsidR="00F000D9" w:rsidRPr="00F000D9" w:rsidRDefault="00F000D9" w:rsidP="009B291A">
      <w:pPr>
        <w:shd w:val="clear" w:color="auto" w:fill="FFFFFF" w:themeFill="background1"/>
        <w:spacing w:after="0"/>
        <w:rPr>
          <w:rFonts w:ascii="Corbel" w:eastAsia="Corbel" w:hAnsi="Corbel" w:cs="Corbel"/>
          <w:b/>
          <w:bCs/>
          <w:color w:val="000000" w:themeColor="text1"/>
        </w:rPr>
      </w:pPr>
    </w:p>
    <w:p w14:paraId="3BA7D08B" w14:textId="6FD11558" w:rsidR="00F000D9" w:rsidRPr="00F000D9" w:rsidRDefault="00F000D9" w:rsidP="00F000D9">
      <w:pPr>
        <w:shd w:val="clear" w:color="auto" w:fill="FFFFFF" w:themeFill="background1"/>
        <w:spacing w:after="0"/>
        <w:rPr>
          <w:rFonts w:ascii="Corbel" w:eastAsia="Corbel" w:hAnsi="Corbel" w:cs="Corbel"/>
          <w:b/>
          <w:bCs/>
          <w:color w:val="000000" w:themeColor="text1"/>
          <w:sz w:val="28"/>
          <w:szCs w:val="28"/>
          <w:u w:val="single"/>
        </w:rPr>
      </w:pPr>
      <w:r w:rsidRPr="00F000D9">
        <w:rPr>
          <w:rFonts w:ascii="Corbel" w:eastAsia="Corbel" w:hAnsi="Corbel" w:cs="Corbel"/>
          <w:b/>
          <w:bCs/>
          <w:color w:val="000000" w:themeColor="text1"/>
          <w:sz w:val="28"/>
          <w:szCs w:val="28"/>
          <w:u w:val="single"/>
        </w:rPr>
        <w:t>For 2026 General Charitable Deduction Rules:</w:t>
      </w:r>
    </w:p>
    <w:p w14:paraId="2FF833D9" w14:textId="6A608E88" w:rsidR="00F000D9" w:rsidRPr="00F000D9" w:rsidRDefault="00F000D9" w:rsidP="00F000D9">
      <w:p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Major changes to U.S. charitable contribution rules, primarily from the "One Big Beautiful Bill Act" (OBBBA</w:t>
      </w:r>
      <w:proofErr w:type="gramStart"/>
      <w:r w:rsidRPr="00F000D9">
        <w:rPr>
          <w:rFonts w:ascii="Corbel" w:eastAsia="Corbel" w:hAnsi="Corbel" w:cs="Corbel"/>
          <w:color w:val="000000" w:themeColor="text1"/>
        </w:rPr>
        <w:t>) </w:t>
      </w:r>
      <w:r w:rsidR="0003242F">
        <w:rPr>
          <w:rFonts w:ascii="Corbel" w:eastAsia="Corbel" w:hAnsi="Corbel" w:cs="Corbel"/>
          <w:color w:val="000000" w:themeColor="text1"/>
        </w:rPr>
        <w:t>,</w:t>
      </w:r>
      <w:proofErr w:type="gramEnd"/>
      <w:r w:rsidR="0003242F">
        <w:rPr>
          <w:rFonts w:ascii="Corbel" w:eastAsia="Corbel" w:hAnsi="Corbel" w:cs="Corbel"/>
          <w:color w:val="000000" w:themeColor="text1"/>
        </w:rPr>
        <w:t xml:space="preserve"> </w:t>
      </w:r>
      <w:r w:rsidRPr="00F000D9">
        <w:rPr>
          <w:rFonts w:ascii="Corbel" w:eastAsia="Corbel" w:hAnsi="Corbel" w:cs="Corbel"/>
          <w:color w:val="000000" w:themeColor="text1"/>
        </w:rPr>
        <w:t>effective January 1, 2026, will affect both itemizers and non-itemizers. Key changes include a new deduction for those taking the standard deduction, a deduction floor for itemizers, and a cap on the deduction value for top earners. </w:t>
      </w:r>
    </w:p>
    <w:p w14:paraId="5FE9CD05" w14:textId="77777777" w:rsidR="00F000D9" w:rsidRPr="00F000D9" w:rsidRDefault="00F000D9" w:rsidP="00F000D9">
      <w:pPr>
        <w:shd w:val="clear" w:color="auto" w:fill="FFFFFF" w:themeFill="background1"/>
        <w:spacing w:after="0"/>
        <w:rPr>
          <w:rFonts w:ascii="Corbel" w:eastAsia="Corbel" w:hAnsi="Corbel" w:cs="Corbel"/>
          <w:b/>
          <w:bCs/>
          <w:color w:val="000000" w:themeColor="text1"/>
          <w:sz w:val="26"/>
          <w:szCs w:val="26"/>
          <w:u w:val="single"/>
        </w:rPr>
      </w:pPr>
      <w:r w:rsidRPr="00F000D9">
        <w:rPr>
          <w:rFonts w:ascii="Corbel" w:eastAsia="Corbel" w:hAnsi="Corbel" w:cs="Corbel"/>
          <w:b/>
          <w:bCs/>
          <w:color w:val="000000" w:themeColor="text1"/>
          <w:sz w:val="26"/>
          <w:szCs w:val="26"/>
          <w:u w:val="single"/>
        </w:rPr>
        <w:t>For Taxpayers Who Take the Standard Deduction</w:t>
      </w:r>
    </w:p>
    <w:p w14:paraId="276B13B5" w14:textId="77777777" w:rsidR="00F000D9" w:rsidRPr="00F000D9" w:rsidRDefault="00F000D9" w:rsidP="00F000D9">
      <w:pPr>
        <w:numPr>
          <w:ilvl w:val="0"/>
          <w:numId w:val="10"/>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Universal Charitable Deduction: Non-itemizing taxpayers can take an "above-the-line" deduction for cash contributions made directly to qualified public charities.</w:t>
      </w:r>
    </w:p>
    <w:p w14:paraId="51DFC6E4" w14:textId="77777777" w:rsidR="00F000D9" w:rsidRPr="00F000D9" w:rsidRDefault="00F000D9" w:rsidP="00F000D9">
      <w:pPr>
        <w:numPr>
          <w:ilvl w:val="0"/>
          <w:numId w:val="10"/>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Limits: The deduction is limited to $1,000 for single filers and $2,000 for married couples filing jointly.</w:t>
      </w:r>
    </w:p>
    <w:p w14:paraId="10DE0541" w14:textId="77777777" w:rsidR="00F000D9" w:rsidRPr="00F000D9" w:rsidRDefault="00F000D9" w:rsidP="00F000D9">
      <w:pPr>
        <w:numPr>
          <w:ilvl w:val="0"/>
          <w:numId w:val="10"/>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Exclusions: This new deduction does not apply to contributions made to </w:t>
      </w:r>
      <w:hyperlink r:id="rId5" w:tgtFrame="_blank" w:tooltip="https://www.nptrust.org/philanthropic-resources/philanthropist/navigating-charitable-giving-in-the-wake-of-new-tax-reform/" w:history="1">
        <w:r w:rsidRPr="00F000D9">
          <w:rPr>
            <w:rStyle w:val="Hyperlink"/>
            <w:rFonts w:ascii="Corbel" w:eastAsia="Corbel" w:hAnsi="Corbel" w:cs="Corbel"/>
          </w:rPr>
          <w:t>donor-advised funds (DAFs)</w:t>
        </w:r>
      </w:hyperlink>
      <w:r w:rsidRPr="00F000D9">
        <w:rPr>
          <w:rFonts w:ascii="Corbel" w:eastAsia="Corbel" w:hAnsi="Corbel" w:cs="Corbel"/>
          <w:color w:val="000000" w:themeColor="text1"/>
        </w:rPr>
        <w:t> or private foundations, and the amount is not indexed for inflation. </w:t>
      </w:r>
    </w:p>
    <w:p w14:paraId="307C3BB9" w14:textId="77777777" w:rsidR="00F000D9" w:rsidRPr="00F000D9" w:rsidRDefault="00F000D9" w:rsidP="00F000D9">
      <w:pPr>
        <w:shd w:val="clear" w:color="auto" w:fill="FFFFFF" w:themeFill="background1"/>
        <w:spacing w:after="0"/>
        <w:rPr>
          <w:rFonts w:ascii="Corbel" w:eastAsia="Corbel" w:hAnsi="Corbel" w:cs="Corbel"/>
          <w:b/>
          <w:bCs/>
          <w:color w:val="000000" w:themeColor="text1"/>
          <w:sz w:val="26"/>
          <w:szCs w:val="26"/>
          <w:u w:val="single"/>
        </w:rPr>
      </w:pPr>
      <w:r w:rsidRPr="00F000D9">
        <w:rPr>
          <w:rFonts w:ascii="Corbel" w:eastAsia="Corbel" w:hAnsi="Corbel" w:cs="Corbel"/>
          <w:b/>
          <w:bCs/>
          <w:color w:val="000000" w:themeColor="text1"/>
          <w:sz w:val="26"/>
          <w:szCs w:val="26"/>
          <w:u w:val="single"/>
        </w:rPr>
        <w:t>For Taxpayers Who Itemize Deductions</w:t>
      </w:r>
    </w:p>
    <w:p w14:paraId="290BE906" w14:textId="77777777" w:rsidR="00F000D9" w:rsidRPr="00F000D9" w:rsidRDefault="00F000D9" w:rsidP="00F000D9">
      <w:pPr>
        <w:numPr>
          <w:ilvl w:val="0"/>
          <w:numId w:val="11"/>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New 0.5% AGI Floor: Charitable contributions are only deductible to the extent they exceed 0.5% of the taxpayer's Adjusted Gross Income (AGI).</w:t>
      </w:r>
    </w:p>
    <w:p w14:paraId="48F7433A" w14:textId="77777777" w:rsidR="00F000D9" w:rsidRPr="00F000D9" w:rsidRDefault="00F000D9" w:rsidP="00F000D9">
      <w:pPr>
        <w:numPr>
          <w:ilvl w:val="1"/>
          <w:numId w:val="11"/>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i/>
          <w:iCs/>
          <w:color w:val="000000" w:themeColor="text1"/>
        </w:rPr>
        <w:t>Example:</w:t>
      </w:r>
      <w:r w:rsidRPr="00F000D9">
        <w:rPr>
          <w:rFonts w:ascii="Corbel" w:eastAsia="Corbel" w:hAnsi="Corbel" w:cs="Corbel"/>
          <w:color w:val="000000" w:themeColor="text1"/>
        </w:rPr>
        <w:t> A couple with an AGI of $200,000 must make over $1,000 in donations before any amount is deductible. A $3,000 donation would yield a $2,000 deduction ($3,000 - $1,000 floor).</w:t>
      </w:r>
    </w:p>
    <w:p w14:paraId="50DADCD0" w14:textId="77777777" w:rsidR="00F000D9" w:rsidRPr="00F000D9" w:rsidRDefault="00F000D9" w:rsidP="00F000D9">
      <w:pPr>
        <w:numPr>
          <w:ilvl w:val="0"/>
          <w:numId w:val="11"/>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lastRenderedPageBreak/>
        <w:t>35% Cap on Deduction Value for Top Earners: For taxpayers in the top 37% tax bracket, the value of their itemized deductions (including charitable ones) will be capped at a 35% tax benefit. This means a $10,000 donation would result in $3,500 tax savings instead of $3,700.</w:t>
      </w:r>
    </w:p>
    <w:p w14:paraId="7756021C" w14:textId="77777777" w:rsidR="00F000D9" w:rsidRPr="00F000D9" w:rsidRDefault="00F000D9" w:rsidP="00F000D9">
      <w:pPr>
        <w:numPr>
          <w:ilvl w:val="0"/>
          <w:numId w:val="11"/>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Permanent 60% AGI Limit: The ability to deduct cash gifts up to 60% of AGI to public charities has been made permanent. </w:t>
      </w:r>
    </w:p>
    <w:p w14:paraId="399BD140" w14:textId="77777777" w:rsidR="00F000D9" w:rsidRPr="00F000D9" w:rsidRDefault="00F000D9" w:rsidP="00F000D9">
      <w:pPr>
        <w:shd w:val="clear" w:color="auto" w:fill="FFFFFF" w:themeFill="background1"/>
        <w:spacing w:after="0"/>
        <w:rPr>
          <w:rFonts w:ascii="Corbel" w:eastAsia="Corbel" w:hAnsi="Corbel" w:cs="Corbel"/>
          <w:b/>
          <w:bCs/>
          <w:color w:val="000000" w:themeColor="text1"/>
          <w:sz w:val="26"/>
          <w:szCs w:val="26"/>
          <w:u w:val="single"/>
        </w:rPr>
      </w:pPr>
      <w:r w:rsidRPr="00F000D9">
        <w:rPr>
          <w:rFonts w:ascii="Corbel" w:eastAsia="Corbel" w:hAnsi="Corbel" w:cs="Corbel"/>
          <w:b/>
          <w:bCs/>
          <w:color w:val="000000" w:themeColor="text1"/>
          <w:sz w:val="26"/>
          <w:szCs w:val="26"/>
          <w:u w:val="single"/>
        </w:rPr>
        <w:t>For Corporations</w:t>
      </w:r>
    </w:p>
    <w:p w14:paraId="29B75F70" w14:textId="77777777" w:rsidR="00F000D9" w:rsidRPr="00F000D9" w:rsidRDefault="00F000D9" w:rsidP="00F000D9">
      <w:pPr>
        <w:numPr>
          <w:ilvl w:val="0"/>
          <w:numId w:val="12"/>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1% Taxable Income Floor: Corporate charitable contributions are only deductible to the extent they exceed 1% of their taxable income, up to the existing 10% ceiling. </w:t>
      </w:r>
    </w:p>
    <w:p w14:paraId="7AD527B2" w14:textId="77777777" w:rsidR="00F000D9" w:rsidRPr="00F000D9" w:rsidRDefault="00F000D9" w:rsidP="00F000D9">
      <w:pPr>
        <w:shd w:val="clear" w:color="auto" w:fill="FFFFFF" w:themeFill="background1"/>
        <w:spacing w:after="0"/>
        <w:rPr>
          <w:rFonts w:ascii="Corbel" w:eastAsia="Corbel" w:hAnsi="Corbel" w:cs="Corbel"/>
          <w:b/>
          <w:bCs/>
          <w:color w:val="000000" w:themeColor="text1"/>
          <w:sz w:val="26"/>
          <w:szCs w:val="26"/>
          <w:u w:val="single"/>
        </w:rPr>
      </w:pPr>
      <w:r w:rsidRPr="00F000D9">
        <w:rPr>
          <w:rFonts w:ascii="Corbel" w:eastAsia="Corbel" w:hAnsi="Corbel" w:cs="Corbel"/>
          <w:b/>
          <w:bCs/>
          <w:color w:val="000000" w:themeColor="text1"/>
          <w:sz w:val="26"/>
          <w:szCs w:val="26"/>
          <w:u w:val="single"/>
        </w:rPr>
        <w:t>Other Relevant Rules</w:t>
      </w:r>
    </w:p>
    <w:p w14:paraId="5E60D9F6" w14:textId="77777777" w:rsidR="00F000D9" w:rsidRPr="00F000D9" w:rsidRDefault="00F000D9" w:rsidP="00F000D9">
      <w:pPr>
        <w:numPr>
          <w:ilvl w:val="0"/>
          <w:numId w:val="13"/>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Qualified Charitable Distributions (QCDs): For individuals age 70½ or older, QCDs (direct transfers from an IRA to a qualified charity) remain an effective tax strategy. They are excluded from taxable income and are not subject to the new AGI floor or deduction caps.</w:t>
      </w:r>
    </w:p>
    <w:p w14:paraId="4496ADC6" w14:textId="77777777" w:rsidR="00F000D9" w:rsidRPr="00F000D9" w:rsidRDefault="00F000D9" w:rsidP="00F000D9">
      <w:pPr>
        <w:numPr>
          <w:ilvl w:val="0"/>
          <w:numId w:val="13"/>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Substantiation: All charitable gifts require proper documentation prescribed by the IRS to be considered deductible.</w:t>
      </w:r>
    </w:p>
    <w:p w14:paraId="639564FC" w14:textId="77777777" w:rsidR="00F000D9" w:rsidRPr="00F000D9" w:rsidRDefault="00F000D9" w:rsidP="00F000D9">
      <w:pPr>
        <w:numPr>
          <w:ilvl w:val="0"/>
          <w:numId w:val="13"/>
        </w:numPr>
        <w:shd w:val="clear" w:color="auto" w:fill="FFFFFF" w:themeFill="background1"/>
        <w:spacing w:after="0"/>
        <w:rPr>
          <w:rFonts w:ascii="Corbel" w:eastAsia="Corbel" w:hAnsi="Corbel" w:cs="Corbel"/>
          <w:color w:val="000000" w:themeColor="text1"/>
        </w:rPr>
      </w:pPr>
      <w:r w:rsidRPr="00F000D9">
        <w:rPr>
          <w:rFonts w:ascii="Corbel" w:eastAsia="Corbel" w:hAnsi="Corbel" w:cs="Corbel"/>
          <w:color w:val="000000" w:themeColor="text1"/>
        </w:rPr>
        <w:t>Carryforward: Excess contributions that exceed annual AGI limitations may still be carried forward for up to five subsequent tax years. </w:t>
      </w:r>
    </w:p>
    <w:p w14:paraId="1BE2BB7A" w14:textId="1904ACE0" w:rsidR="00F000D9" w:rsidRPr="00F000D9" w:rsidRDefault="0003242F" w:rsidP="00F000D9">
      <w:pPr>
        <w:shd w:val="clear" w:color="auto" w:fill="FFFFFF" w:themeFill="background1"/>
        <w:spacing w:after="0"/>
        <w:rPr>
          <w:rFonts w:ascii="Corbel" w:eastAsia="Corbel" w:hAnsi="Corbel" w:cs="Corbel"/>
          <w:color w:val="000000" w:themeColor="text1"/>
        </w:rPr>
      </w:pPr>
      <w:r w:rsidRPr="0007202D">
        <w:rPr>
          <w:rFonts w:ascii="Corbel" w:eastAsia="Corbel" w:hAnsi="Corbel" w:cs="Corbel"/>
          <w:color w:val="000000" w:themeColor="text1"/>
        </w:rPr>
        <w:t xml:space="preserve"> </w:t>
      </w:r>
    </w:p>
    <w:p w14:paraId="2E664568" w14:textId="77777777" w:rsidR="00F000D9" w:rsidRPr="0007202D" w:rsidRDefault="00F000D9" w:rsidP="295A01E9">
      <w:pPr>
        <w:shd w:val="clear" w:color="auto" w:fill="FFFFFF" w:themeFill="background1"/>
        <w:spacing w:after="0"/>
        <w:rPr>
          <w:rFonts w:ascii="Corbel" w:eastAsia="Corbel" w:hAnsi="Corbel" w:cs="Corbel"/>
          <w:color w:val="000000" w:themeColor="text1"/>
        </w:rPr>
      </w:pPr>
    </w:p>
    <w:p w14:paraId="15C8D59A" w14:textId="77777777" w:rsidR="00F000D9" w:rsidRPr="0007202D" w:rsidRDefault="00F000D9" w:rsidP="295A01E9">
      <w:pPr>
        <w:shd w:val="clear" w:color="auto" w:fill="FFFFFF" w:themeFill="background1"/>
        <w:spacing w:after="0"/>
        <w:rPr>
          <w:rFonts w:ascii="Corbel" w:eastAsia="Corbel" w:hAnsi="Corbel" w:cs="Corbel"/>
          <w:color w:val="000000" w:themeColor="text1"/>
        </w:rPr>
      </w:pPr>
    </w:p>
    <w:p w14:paraId="13FACD5D" w14:textId="77777777" w:rsidR="00F000D9" w:rsidRDefault="00F000D9" w:rsidP="295A01E9">
      <w:pPr>
        <w:shd w:val="clear" w:color="auto" w:fill="FFFFFF" w:themeFill="background1"/>
        <w:spacing w:after="0"/>
        <w:rPr>
          <w:rFonts w:ascii="Corbel" w:eastAsia="Corbel" w:hAnsi="Corbel" w:cs="Corbel"/>
          <w:b/>
          <w:bCs/>
          <w:color w:val="000000" w:themeColor="text1"/>
        </w:rPr>
      </w:pPr>
    </w:p>
    <w:p w14:paraId="34D820E6" w14:textId="77777777" w:rsidR="00F000D9" w:rsidRDefault="00F000D9" w:rsidP="295A01E9">
      <w:pPr>
        <w:shd w:val="clear" w:color="auto" w:fill="FFFFFF" w:themeFill="background1"/>
        <w:spacing w:after="0"/>
        <w:rPr>
          <w:rFonts w:ascii="Corbel" w:eastAsia="Corbel" w:hAnsi="Corbel" w:cs="Corbel"/>
          <w:b/>
          <w:bCs/>
          <w:color w:val="000000" w:themeColor="text1"/>
        </w:rPr>
      </w:pPr>
    </w:p>
    <w:p w14:paraId="2C078E63" w14:textId="2B68FE9A" w:rsidR="00EF3DF9" w:rsidRDefault="00EF3DF9" w:rsidP="0003242F">
      <w:pPr>
        <w:spacing w:after="0" w:line="240" w:lineRule="auto"/>
        <w:rPr>
          <w:rFonts w:ascii="Calibri" w:eastAsia="Calibri" w:hAnsi="Calibri" w:cs="Calibri"/>
          <w:color w:val="242424"/>
          <w:sz w:val="22"/>
          <w:szCs w:val="22"/>
        </w:rPr>
      </w:pPr>
    </w:p>
    <w:sectPr w:rsidR="00EF3D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2F3"/>
    <w:multiLevelType w:val="multilevel"/>
    <w:tmpl w:val="0BC6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1431D"/>
    <w:multiLevelType w:val="hybridMultilevel"/>
    <w:tmpl w:val="F8A42F9A"/>
    <w:lvl w:ilvl="0" w:tplc="6B807082">
      <w:start w:val="1"/>
      <w:numFmt w:val="bullet"/>
      <w:lvlText w:val=""/>
      <w:lvlJc w:val="left"/>
      <w:pPr>
        <w:ind w:left="720" w:hanging="360"/>
      </w:pPr>
      <w:rPr>
        <w:rFonts w:ascii="Symbol" w:hAnsi="Symbol" w:hint="default"/>
      </w:rPr>
    </w:lvl>
    <w:lvl w:ilvl="1" w:tplc="AEE87AEA">
      <w:start w:val="1"/>
      <w:numFmt w:val="bullet"/>
      <w:lvlText w:val="o"/>
      <w:lvlJc w:val="left"/>
      <w:pPr>
        <w:ind w:left="1440" w:hanging="360"/>
      </w:pPr>
      <w:rPr>
        <w:rFonts w:ascii="Courier New" w:hAnsi="Courier New" w:hint="default"/>
      </w:rPr>
    </w:lvl>
    <w:lvl w:ilvl="2" w:tplc="E9DC5398">
      <w:start w:val="1"/>
      <w:numFmt w:val="bullet"/>
      <w:lvlText w:val=""/>
      <w:lvlJc w:val="left"/>
      <w:pPr>
        <w:ind w:left="2160" w:hanging="360"/>
      </w:pPr>
      <w:rPr>
        <w:rFonts w:ascii="Wingdings" w:hAnsi="Wingdings" w:hint="default"/>
      </w:rPr>
    </w:lvl>
    <w:lvl w:ilvl="3" w:tplc="64384288">
      <w:start w:val="1"/>
      <w:numFmt w:val="bullet"/>
      <w:lvlText w:val=""/>
      <w:lvlJc w:val="left"/>
      <w:pPr>
        <w:ind w:left="2880" w:hanging="360"/>
      </w:pPr>
      <w:rPr>
        <w:rFonts w:ascii="Symbol" w:hAnsi="Symbol" w:hint="default"/>
      </w:rPr>
    </w:lvl>
    <w:lvl w:ilvl="4" w:tplc="A8F2E780">
      <w:start w:val="1"/>
      <w:numFmt w:val="bullet"/>
      <w:lvlText w:val="o"/>
      <w:lvlJc w:val="left"/>
      <w:pPr>
        <w:ind w:left="3600" w:hanging="360"/>
      </w:pPr>
      <w:rPr>
        <w:rFonts w:ascii="Courier New" w:hAnsi="Courier New" w:hint="default"/>
      </w:rPr>
    </w:lvl>
    <w:lvl w:ilvl="5" w:tplc="C9E01DA6">
      <w:start w:val="1"/>
      <w:numFmt w:val="bullet"/>
      <w:lvlText w:val=""/>
      <w:lvlJc w:val="left"/>
      <w:pPr>
        <w:ind w:left="4320" w:hanging="360"/>
      </w:pPr>
      <w:rPr>
        <w:rFonts w:ascii="Wingdings" w:hAnsi="Wingdings" w:hint="default"/>
      </w:rPr>
    </w:lvl>
    <w:lvl w:ilvl="6" w:tplc="B162AEC0">
      <w:start w:val="1"/>
      <w:numFmt w:val="bullet"/>
      <w:lvlText w:val=""/>
      <w:lvlJc w:val="left"/>
      <w:pPr>
        <w:ind w:left="5040" w:hanging="360"/>
      </w:pPr>
      <w:rPr>
        <w:rFonts w:ascii="Symbol" w:hAnsi="Symbol" w:hint="default"/>
      </w:rPr>
    </w:lvl>
    <w:lvl w:ilvl="7" w:tplc="9FB68ED6">
      <w:start w:val="1"/>
      <w:numFmt w:val="bullet"/>
      <w:lvlText w:val="o"/>
      <w:lvlJc w:val="left"/>
      <w:pPr>
        <w:ind w:left="5760" w:hanging="360"/>
      </w:pPr>
      <w:rPr>
        <w:rFonts w:ascii="Courier New" w:hAnsi="Courier New" w:hint="default"/>
      </w:rPr>
    </w:lvl>
    <w:lvl w:ilvl="8" w:tplc="176E42B2">
      <w:start w:val="1"/>
      <w:numFmt w:val="bullet"/>
      <w:lvlText w:val=""/>
      <w:lvlJc w:val="left"/>
      <w:pPr>
        <w:ind w:left="6480" w:hanging="360"/>
      </w:pPr>
      <w:rPr>
        <w:rFonts w:ascii="Wingdings" w:hAnsi="Wingdings" w:hint="default"/>
      </w:rPr>
    </w:lvl>
  </w:abstractNum>
  <w:abstractNum w:abstractNumId="2" w15:restartNumberingAfterBreak="0">
    <w:nsid w:val="0FA555BA"/>
    <w:multiLevelType w:val="multilevel"/>
    <w:tmpl w:val="158E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30FE3"/>
    <w:multiLevelType w:val="multilevel"/>
    <w:tmpl w:val="4D1C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72C55"/>
    <w:multiLevelType w:val="multilevel"/>
    <w:tmpl w:val="FF145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F6309"/>
    <w:multiLevelType w:val="multilevel"/>
    <w:tmpl w:val="4D16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5B631"/>
    <w:multiLevelType w:val="hybridMultilevel"/>
    <w:tmpl w:val="498263CE"/>
    <w:lvl w:ilvl="0" w:tplc="6C06A968">
      <w:start w:val="1"/>
      <w:numFmt w:val="bullet"/>
      <w:lvlText w:val=""/>
      <w:lvlJc w:val="left"/>
      <w:pPr>
        <w:ind w:left="720" w:hanging="360"/>
      </w:pPr>
      <w:rPr>
        <w:rFonts w:ascii="Symbol" w:hAnsi="Symbol" w:hint="default"/>
      </w:rPr>
    </w:lvl>
    <w:lvl w:ilvl="1" w:tplc="A5986B22">
      <w:start w:val="1"/>
      <w:numFmt w:val="bullet"/>
      <w:lvlText w:val="o"/>
      <w:lvlJc w:val="left"/>
      <w:pPr>
        <w:ind w:left="1440" w:hanging="360"/>
      </w:pPr>
      <w:rPr>
        <w:rFonts w:ascii="Courier New" w:hAnsi="Courier New" w:hint="default"/>
      </w:rPr>
    </w:lvl>
    <w:lvl w:ilvl="2" w:tplc="602AB56C">
      <w:start w:val="1"/>
      <w:numFmt w:val="bullet"/>
      <w:lvlText w:val=""/>
      <w:lvlJc w:val="left"/>
      <w:pPr>
        <w:ind w:left="2160" w:hanging="360"/>
      </w:pPr>
      <w:rPr>
        <w:rFonts w:ascii="Wingdings" w:hAnsi="Wingdings" w:hint="default"/>
      </w:rPr>
    </w:lvl>
    <w:lvl w:ilvl="3" w:tplc="9C2E1D4A">
      <w:start w:val="1"/>
      <w:numFmt w:val="bullet"/>
      <w:lvlText w:val=""/>
      <w:lvlJc w:val="left"/>
      <w:pPr>
        <w:ind w:left="2880" w:hanging="360"/>
      </w:pPr>
      <w:rPr>
        <w:rFonts w:ascii="Symbol" w:hAnsi="Symbol" w:hint="default"/>
      </w:rPr>
    </w:lvl>
    <w:lvl w:ilvl="4" w:tplc="0FD6FF70">
      <w:start w:val="1"/>
      <w:numFmt w:val="bullet"/>
      <w:lvlText w:val="o"/>
      <w:lvlJc w:val="left"/>
      <w:pPr>
        <w:ind w:left="3600" w:hanging="360"/>
      </w:pPr>
      <w:rPr>
        <w:rFonts w:ascii="Courier New" w:hAnsi="Courier New" w:hint="default"/>
      </w:rPr>
    </w:lvl>
    <w:lvl w:ilvl="5" w:tplc="2DC082EA">
      <w:start w:val="1"/>
      <w:numFmt w:val="bullet"/>
      <w:lvlText w:val=""/>
      <w:lvlJc w:val="left"/>
      <w:pPr>
        <w:ind w:left="4320" w:hanging="360"/>
      </w:pPr>
      <w:rPr>
        <w:rFonts w:ascii="Wingdings" w:hAnsi="Wingdings" w:hint="default"/>
      </w:rPr>
    </w:lvl>
    <w:lvl w:ilvl="6" w:tplc="C3E84F54">
      <w:start w:val="1"/>
      <w:numFmt w:val="bullet"/>
      <w:lvlText w:val=""/>
      <w:lvlJc w:val="left"/>
      <w:pPr>
        <w:ind w:left="5040" w:hanging="360"/>
      </w:pPr>
      <w:rPr>
        <w:rFonts w:ascii="Symbol" w:hAnsi="Symbol" w:hint="default"/>
      </w:rPr>
    </w:lvl>
    <w:lvl w:ilvl="7" w:tplc="D76CFC62">
      <w:start w:val="1"/>
      <w:numFmt w:val="bullet"/>
      <w:lvlText w:val="o"/>
      <w:lvlJc w:val="left"/>
      <w:pPr>
        <w:ind w:left="5760" w:hanging="360"/>
      </w:pPr>
      <w:rPr>
        <w:rFonts w:ascii="Courier New" w:hAnsi="Courier New" w:hint="default"/>
      </w:rPr>
    </w:lvl>
    <w:lvl w:ilvl="8" w:tplc="F6DE6010">
      <w:start w:val="1"/>
      <w:numFmt w:val="bullet"/>
      <w:lvlText w:val=""/>
      <w:lvlJc w:val="left"/>
      <w:pPr>
        <w:ind w:left="6480" w:hanging="360"/>
      </w:pPr>
      <w:rPr>
        <w:rFonts w:ascii="Wingdings" w:hAnsi="Wingdings" w:hint="default"/>
      </w:rPr>
    </w:lvl>
  </w:abstractNum>
  <w:abstractNum w:abstractNumId="7" w15:restartNumberingAfterBreak="0">
    <w:nsid w:val="3CE71A4D"/>
    <w:multiLevelType w:val="multilevel"/>
    <w:tmpl w:val="4988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5BA40"/>
    <w:multiLevelType w:val="hybridMultilevel"/>
    <w:tmpl w:val="C7DE3F34"/>
    <w:lvl w:ilvl="0" w:tplc="0F5EEA80">
      <w:start w:val="1"/>
      <w:numFmt w:val="bullet"/>
      <w:lvlText w:val=""/>
      <w:lvlJc w:val="left"/>
      <w:pPr>
        <w:ind w:left="720" w:hanging="360"/>
      </w:pPr>
      <w:rPr>
        <w:rFonts w:ascii="Symbol" w:hAnsi="Symbol" w:hint="default"/>
      </w:rPr>
    </w:lvl>
    <w:lvl w:ilvl="1" w:tplc="EFD43ABA">
      <w:start w:val="1"/>
      <w:numFmt w:val="bullet"/>
      <w:lvlText w:val="o"/>
      <w:lvlJc w:val="left"/>
      <w:pPr>
        <w:ind w:left="1440" w:hanging="360"/>
      </w:pPr>
      <w:rPr>
        <w:rFonts w:ascii="Courier New" w:hAnsi="Courier New" w:hint="default"/>
      </w:rPr>
    </w:lvl>
    <w:lvl w:ilvl="2" w:tplc="5C688F54">
      <w:start w:val="1"/>
      <w:numFmt w:val="bullet"/>
      <w:lvlText w:val=""/>
      <w:lvlJc w:val="left"/>
      <w:pPr>
        <w:ind w:left="2160" w:hanging="360"/>
      </w:pPr>
      <w:rPr>
        <w:rFonts w:ascii="Wingdings" w:hAnsi="Wingdings" w:hint="default"/>
      </w:rPr>
    </w:lvl>
    <w:lvl w:ilvl="3" w:tplc="19F04D10">
      <w:start w:val="1"/>
      <w:numFmt w:val="bullet"/>
      <w:lvlText w:val=""/>
      <w:lvlJc w:val="left"/>
      <w:pPr>
        <w:ind w:left="2880" w:hanging="360"/>
      </w:pPr>
      <w:rPr>
        <w:rFonts w:ascii="Symbol" w:hAnsi="Symbol" w:hint="default"/>
      </w:rPr>
    </w:lvl>
    <w:lvl w:ilvl="4" w:tplc="D9146EA0">
      <w:start w:val="1"/>
      <w:numFmt w:val="bullet"/>
      <w:lvlText w:val="o"/>
      <w:lvlJc w:val="left"/>
      <w:pPr>
        <w:ind w:left="3600" w:hanging="360"/>
      </w:pPr>
      <w:rPr>
        <w:rFonts w:ascii="Courier New" w:hAnsi="Courier New" w:hint="default"/>
      </w:rPr>
    </w:lvl>
    <w:lvl w:ilvl="5" w:tplc="504AB0EE">
      <w:start w:val="1"/>
      <w:numFmt w:val="bullet"/>
      <w:lvlText w:val=""/>
      <w:lvlJc w:val="left"/>
      <w:pPr>
        <w:ind w:left="4320" w:hanging="360"/>
      </w:pPr>
      <w:rPr>
        <w:rFonts w:ascii="Wingdings" w:hAnsi="Wingdings" w:hint="default"/>
      </w:rPr>
    </w:lvl>
    <w:lvl w:ilvl="6" w:tplc="1AA47558">
      <w:start w:val="1"/>
      <w:numFmt w:val="bullet"/>
      <w:lvlText w:val=""/>
      <w:lvlJc w:val="left"/>
      <w:pPr>
        <w:ind w:left="5040" w:hanging="360"/>
      </w:pPr>
      <w:rPr>
        <w:rFonts w:ascii="Symbol" w:hAnsi="Symbol" w:hint="default"/>
      </w:rPr>
    </w:lvl>
    <w:lvl w:ilvl="7" w:tplc="417205EE">
      <w:start w:val="1"/>
      <w:numFmt w:val="bullet"/>
      <w:lvlText w:val="o"/>
      <w:lvlJc w:val="left"/>
      <w:pPr>
        <w:ind w:left="5760" w:hanging="360"/>
      </w:pPr>
      <w:rPr>
        <w:rFonts w:ascii="Courier New" w:hAnsi="Courier New" w:hint="default"/>
      </w:rPr>
    </w:lvl>
    <w:lvl w:ilvl="8" w:tplc="BC187164">
      <w:start w:val="1"/>
      <w:numFmt w:val="bullet"/>
      <w:lvlText w:val=""/>
      <w:lvlJc w:val="left"/>
      <w:pPr>
        <w:ind w:left="6480" w:hanging="360"/>
      </w:pPr>
      <w:rPr>
        <w:rFonts w:ascii="Wingdings" w:hAnsi="Wingdings" w:hint="default"/>
      </w:rPr>
    </w:lvl>
  </w:abstractNum>
  <w:abstractNum w:abstractNumId="9" w15:restartNumberingAfterBreak="0">
    <w:nsid w:val="644AB91A"/>
    <w:multiLevelType w:val="hybridMultilevel"/>
    <w:tmpl w:val="006ECC36"/>
    <w:lvl w:ilvl="0" w:tplc="C4602684">
      <w:start w:val="1"/>
      <w:numFmt w:val="bullet"/>
      <w:lvlText w:val=""/>
      <w:lvlJc w:val="left"/>
      <w:pPr>
        <w:ind w:left="720" w:hanging="360"/>
      </w:pPr>
      <w:rPr>
        <w:rFonts w:ascii="Symbol" w:hAnsi="Symbol" w:hint="default"/>
      </w:rPr>
    </w:lvl>
    <w:lvl w:ilvl="1" w:tplc="E5604964">
      <w:start w:val="1"/>
      <w:numFmt w:val="bullet"/>
      <w:lvlText w:val="o"/>
      <w:lvlJc w:val="left"/>
      <w:pPr>
        <w:ind w:left="1440" w:hanging="360"/>
      </w:pPr>
      <w:rPr>
        <w:rFonts w:ascii="Courier New" w:hAnsi="Courier New" w:hint="default"/>
      </w:rPr>
    </w:lvl>
    <w:lvl w:ilvl="2" w:tplc="EAE2721C">
      <w:start w:val="1"/>
      <w:numFmt w:val="bullet"/>
      <w:lvlText w:val=""/>
      <w:lvlJc w:val="left"/>
      <w:pPr>
        <w:ind w:left="2160" w:hanging="360"/>
      </w:pPr>
      <w:rPr>
        <w:rFonts w:ascii="Wingdings" w:hAnsi="Wingdings" w:hint="default"/>
      </w:rPr>
    </w:lvl>
    <w:lvl w:ilvl="3" w:tplc="03644B50">
      <w:start w:val="1"/>
      <w:numFmt w:val="bullet"/>
      <w:lvlText w:val=""/>
      <w:lvlJc w:val="left"/>
      <w:pPr>
        <w:ind w:left="2880" w:hanging="360"/>
      </w:pPr>
      <w:rPr>
        <w:rFonts w:ascii="Symbol" w:hAnsi="Symbol" w:hint="default"/>
      </w:rPr>
    </w:lvl>
    <w:lvl w:ilvl="4" w:tplc="D12045EE">
      <w:start w:val="1"/>
      <w:numFmt w:val="bullet"/>
      <w:lvlText w:val="o"/>
      <w:lvlJc w:val="left"/>
      <w:pPr>
        <w:ind w:left="3600" w:hanging="360"/>
      </w:pPr>
      <w:rPr>
        <w:rFonts w:ascii="Courier New" w:hAnsi="Courier New" w:hint="default"/>
      </w:rPr>
    </w:lvl>
    <w:lvl w:ilvl="5" w:tplc="3FA85CDE">
      <w:start w:val="1"/>
      <w:numFmt w:val="bullet"/>
      <w:lvlText w:val=""/>
      <w:lvlJc w:val="left"/>
      <w:pPr>
        <w:ind w:left="4320" w:hanging="360"/>
      </w:pPr>
      <w:rPr>
        <w:rFonts w:ascii="Wingdings" w:hAnsi="Wingdings" w:hint="default"/>
      </w:rPr>
    </w:lvl>
    <w:lvl w:ilvl="6" w:tplc="1AB4CB82">
      <w:start w:val="1"/>
      <w:numFmt w:val="bullet"/>
      <w:lvlText w:val=""/>
      <w:lvlJc w:val="left"/>
      <w:pPr>
        <w:ind w:left="5040" w:hanging="360"/>
      </w:pPr>
      <w:rPr>
        <w:rFonts w:ascii="Symbol" w:hAnsi="Symbol" w:hint="default"/>
      </w:rPr>
    </w:lvl>
    <w:lvl w:ilvl="7" w:tplc="CA5E2F7A">
      <w:start w:val="1"/>
      <w:numFmt w:val="bullet"/>
      <w:lvlText w:val="o"/>
      <w:lvlJc w:val="left"/>
      <w:pPr>
        <w:ind w:left="5760" w:hanging="360"/>
      </w:pPr>
      <w:rPr>
        <w:rFonts w:ascii="Courier New" w:hAnsi="Courier New" w:hint="default"/>
      </w:rPr>
    </w:lvl>
    <w:lvl w:ilvl="8" w:tplc="C9CAC602">
      <w:start w:val="1"/>
      <w:numFmt w:val="bullet"/>
      <w:lvlText w:val=""/>
      <w:lvlJc w:val="left"/>
      <w:pPr>
        <w:ind w:left="6480" w:hanging="360"/>
      </w:pPr>
      <w:rPr>
        <w:rFonts w:ascii="Wingdings" w:hAnsi="Wingdings" w:hint="default"/>
      </w:rPr>
    </w:lvl>
  </w:abstractNum>
  <w:abstractNum w:abstractNumId="10" w15:restartNumberingAfterBreak="0">
    <w:nsid w:val="66B3310E"/>
    <w:multiLevelType w:val="multilevel"/>
    <w:tmpl w:val="3B26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3048FE"/>
    <w:multiLevelType w:val="multilevel"/>
    <w:tmpl w:val="03C4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383EF8"/>
    <w:multiLevelType w:val="hybridMultilevel"/>
    <w:tmpl w:val="76FE52A6"/>
    <w:lvl w:ilvl="0" w:tplc="0F5A717A">
      <w:start w:val="1"/>
      <w:numFmt w:val="bullet"/>
      <w:lvlText w:val=""/>
      <w:lvlJc w:val="left"/>
      <w:pPr>
        <w:ind w:left="720" w:hanging="360"/>
      </w:pPr>
      <w:rPr>
        <w:rFonts w:ascii="Symbol" w:hAnsi="Symbol" w:hint="default"/>
      </w:rPr>
    </w:lvl>
    <w:lvl w:ilvl="1" w:tplc="B40A7848">
      <w:start w:val="1"/>
      <w:numFmt w:val="bullet"/>
      <w:lvlText w:val="o"/>
      <w:lvlJc w:val="left"/>
      <w:pPr>
        <w:ind w:left="1440" w:hanging="360"/>
      </w:pPr>
      <w:rPr>
        <w:rFonts w:ascii="Courier New" w:hAnsi="Courier New" w:hint="default"/>
      </w:rPr>
    </w:lvl>
    <w:lvl w:ilvl="2" w:tplc="DE2A7784">
      <w:start w:val="1"/>
      <w:numFmt w:val="bullet"/>
      <w:lvlText w:val=""/>
      <w:lvlJc w:val="left"/>
      <w:pPr>
        <w:ind w:left="2160" w:hanging="360"/>
      </w:pPr>
      <w:rPr>
        <w:rFonts w:ascii="Wingdings" w:hAnsi="Wingdings" w:hint="default"/>
      </w:rPr>
    </w:lvl>
    <w:lvl w:ilvl="3" w:tplc="974CEA2A">
      <w:start w:val="1"/>
      <w:numFmt w:val="bullet"/>
      <w:lvlText w:val=""/>
      <w:lvlJc w:val="left"/>
      <w:pPr>
        <w:ind w:left="2880" w:hanging="360"/>
      </w:pPr>
      <w:rPr>
        <w:rFonts w:ascii="Symbol" w:hAnsi="Symbol" w:hint="default"/>
      </w:rPr>
    </w:lvl>
    <w:lvl w:ilvl="4" w:tplc="F96E8484">
      <w:start w:val="1"/>
      <w:numFmt w:val="bullet"/>
      <w:lvlText w:val="o"/>
      <w:lvlJc w:val="left"/>
      <w:pPr>
        <w:ind w:left="3600" w:hanging="360"/>
      </w:pPr>
      <w:rPr>
        <w:rFonts w:ascii="Courier New" w:hAnsi="Courier New" w:hint="default"/>
      </w:rPr>
    </w:lvl>
    <w:lvl w:ilvl="5" w:tplc="1BC25668">
      <w:start w:val="1"/>
      <w:numFmt w:val="bullet"/>
      <w:lvlText w:val=""/>
      <w:lvlJc w:val="left"/>
      <w:pPr>
        <w:ind w:left="4320" w:hanging="360"/>
      </w:pPr>
      <w:rPr>
        <w:rFonts w:ascii="Wingdings" w:hAnsi="Wingdings" w:hint="default"/>
      </w:rPr>
    </w:lvl>
    <w:lvl w:ilvl="6" w:tplc="4A0E4B44">
      <w:start w:val="1"/>
      <w:numFmt w:val="bullet"/>
      <w:lvlText w:val=""/>
      <w:lvlJc w:val="left"/>
      <w:pPr>
        <w:ind w:left="5040" w:hanging="360"/>
      </w:pPr>
      <w:rPr>
        <w:rFonts w:ascii="Symbol" w:hAnsi="Symbol" w:hint="default"/>
      </w:rPr>
    </w:lvl>
    <w:lvl w:ilvl="7" w:tplc="C860813E">
      <w:start w:val="1"/>
      <w:numFmt w:val="bullet"/>
      <w:lvlText w:val="o"/>
      <w:lvlJc w:val="left"/>
      <w:pPr>
        <w:ind w:left="5760" w:hanging="360"/>
      </w:pPr>
      <w:rPr>
        <w:rFonts w:ascii="Courier New" w:hAnsi="Courier New" w:hint="default"/>
      </w:rPr>
    </w:lvl>
    <w:lvl w:ilvl="8" w:tplc="B4EAE3A0">
      <w:start w:val="1"/>
      <w:numFmt w:val="bullet"/>
      <w:lvlText w:val=""/>
      <w:lvlJc w:val="left"/>
      <w:pPr>
        <w:ind w:left="6480" w:hanging="360"/>
      </w:pPr>
      <w:rPr>
        <w:rFonts w:ascii="Wingdings" w:hAnsi="Wingdings" w:hint="default"/>
      </w:rPr>
    </w:lvl>
  </w:abstractNum>
  <w:num w:numId="1" w16cid:durableId="1113667350">
    <w:abstractNumId w:val="12"/>
  </w:num>
  <w:num w:numId="2" w16cid:durableId="1823622050">
    <w:abstractNumId w:val="6"/>
  </w:num>
  <w:num w:numId="3" w16cid:durableId="109709898">
    <w:abstractNumId w:val="1"/>
  </w:num>
  <w:num w:numId="4" w16cid:durableId="615017074">
    <w:abstractNumId w:val="8"/>
  </w:num>
  <w:num w:numId="5" w16cid:durableId="2057459976">
    <w:abstractNumId w:val="9"/>
  </w:num>
  <w:num w:numId="6" w16cid:durableId="1908614732">
    <w:abstractNumId w:val="7"/>
  </w:num>
  <w:num w:numId="7" w16cid:durableId="85268405">
    <w:abstractNumId w:val="11"/>
  </w:num>
  <w:num w:numId="8" w16cid:durableId="806165998">
    <w:abstractNumId w:val="5"/>
  </w:num>
  <w:num w:numId="9" w16cid:durableId="502666738">
    <w:abstractNumId w:val="10"/>
  </w:num>
  <w:num w:numId="10" w16cid:durableId="391004224">
    <w:abstractNumId w:val="3"/>
  </w:num>
  <w:num w:numId="11" w16cid:durableId="421032610">
    <w:abstractNumId w:val="4"/>
  </w:num>
  <w:num w:numId="12" w16cid:durableId="1587764947">
    <w:abstractNumId w:val="0"/>
  </w:num>
  <w:num w:numId="13" w16cid:durableId="933904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4C169E"/>
    <w:rsid w:val="0003242F"/>
    <w:rsid w:val="0007202D"/>
    <w:rsid w:val="000C1608"/>
    <w:rsid w:val="000D1B85"/>
    <w:rsid w:val="002E0AE8"/>
    <w:rsid w:val="00305151"/>
    <w:rsid w:val="003D70D6"/>
    <w:rsid w:val="003F015A"/>
    <w:rsid w:val="00414BBD"/>
    <w:rsid w:val="00652973"/>
    <w:rsid w:val="00696137"/>
    <w:rsid w:val="009B291A"/>
    <w:rsid w:val="00C6366F"/>
    <w:rsid w:val="00E93B3D"/>
    <w:rsid w:val="00E941A1"/>
    <w:rsid w:val="00EF3DF9"/>
    <w:rsid w:val="00F000D9"/>
    <w:rsid w:val="00F251EB"/>
    <w:rsid w:val="0AAE3E89"/>
    <w:rsid w:val="179D6391"/>
    <w:rsid w:val="264396E1"/>
    <w:rsid w:val="295A01E9"/>
    <w:rsid w:val="614C169E"/>
    <w:rsid w:val="67DD1C7E"/>
    <w:rsid w:val="6A2FB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C169E"/>
  <w15:chartTrackingRefBased/>
  <w15:docId w15:val="{78E22F85-EA3E-4E5B-A62E-1D28D044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95A01E9"/>
    <w:rPr>
      <w:color w:val="467886"/>
      <w:u w:val="single"/>
    </w:rPr>
  </w:style>
  <w:style w:type="paragraph" w:styleId="ListParagraph">
    <w:name w:val="List Paragraph"/>
    <w:basedOn w:val="Normal"/>
    <w:uiPriority w:val="34"/>
    <w:qFormat/>
    <w:rsid w:val="295A01E9"/>
    <w:pPr>
      <w:ind w:left="720"/>
      <w:contextualSpacing/>
    </w:pPr>
  </w:style>
  <w:style w:type="character" w:styleId="UnresolvedMention">
    <w:name w:val="Unresolved Mention"/>
    <w:basedOn w:val="DefaultParagraphFont"/>
    <w:uiPriority w:val="99"/>
    <w:semiHidden/>
    <w:unhideWhenUsed/>
    <w:rsid w:val="00F00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ptrust.org/philanthropic-resources/philanthropist/navigating-charitable-giving-in-the-wake-of-new-tax-re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1187</Words>
  <Characters>6177</Characters>
  <Application>Microsoft Office Word</Application>
  <DocSecurity>0</DocSecurity>
  <Lines>104</Lines>
  <Paragraphs>48</Paragraphs>
  <ScaleCrop>false</ScaleCrop>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Ramotar</dc:creator>
  <cp:keywords/>
  <dc:description/>
  <cp:lastModifiedBy>Vicki Ramotar</cp:lastModifiedBy>
  <cp:revision>14</cp:revision>
  <dcterms:created xsi:type="dcterms:W3CDTF">2025-11-13T21:13:00Z</dcterms:created>
  <dcterms:modified xsi:type="dcterms:W3CDTF">2025-11-14T18:54:00Z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a14b3493-f9f9-42f0-9d4f-3c2e46eea9a3</vt:lpwstr>
  </property>
</Properties>
</file>